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pict>
          <v:shape id="_x0000_s2050" o:spid="_x0000_s2050" o:spt="136" type="#_x0000_t136" style="position:absolute;left:0pt;flip:x y;margin-left:21pt;margin-top:-166.8pt;height:85.8pt;width:387pt;rotation:11796480f;z-index:251658240;mso-width-relative:page;mso-height-relative:page;" fillcolor="#FF0000" filled="t" stroked="f" coordsize="21600,21600">
            <v:path/>
            <v:fill on="t" alignshape="1" focussize="0,0"/>
            <v:stroke on="f" imagealignshape="1"/>
            <v:imagedata o:title=""/>
            <o:lock v:ext="edit"/>
            <v:textpath on="t" fitshape="t" fitpath="t" trim="t" xscale="f" string="黄山市林业局文件" style="font-family:方正小标宋简体;font-size:32pt;v-rotate-letters:f;v-same-letter-heights:f;v-text-align:center;"/>
            <o:callout minusx="t" minusy="t"/>
          </v:shape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t>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  <w:spacing w:val="-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111760</wp:posOffset>
                </wp:positionV>
                <wp:extent cx="5715000" cy="0"/>
                <wp:effectExtent l="0" t="19050" r="0" b="2667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9.45pt;margin-top:8.8pt;height:0pt;width:450pt;z-index:251659264;mso-width-relative:page;mso-height-relative:page;" filled="f" stroked="t" coordsize="21600,21600" o:gfxdata="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J27ntkAAAAJAQAADwAAAAAAAAABACAAAAAiAAAA&#10;ZHJzL2Rvd25yZXYueG1sUEsBAhQAFAAAAAgAh07iQCPb4ZXNAQAAjgMAAA4AAAAAAAAAAQAgAAAA&#10;KAEAAGRycy9lMm9Eb2MueG1sUEsFBgAAAAAGAAYAWQEAAGc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pStyle w:val="12"/>
        <w:widowControl/>
        <w:spacing w:before="0" w:beforeAutospacing="0" w:after="0" w:afterAutospacing="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</w:t>
      </w:r>
      <w:r>
        <w:rPr>
          <w:rFonts w:hint="eastAsia" w:eastAsia="方正小标宋简体"/>
          <w:sz w:val="44"/>
          <w:szCs w:val="44"/>
        </w:rPr>
        <w:t>印发</w:t>
      </w:r>
      <w:r>
        <w:rPr>
          <w:rFonts w:eastAsia="方正小标宋简体"/>
          <w:sz w:val="44"/>
          <w:szCs w:val="44"/>
        </w:rPr>
        <w:t>《全市林业系统推进绿美江淮行动2024年工作方案》的通知</w:t>
      </w:r>
    </w:p>
    <w:p>
      <w:pPr>
        <w:pStyle w:val="4"/>
        <w:spacing w:line="560" w:lineRule="exact"/>
        <w:ind w:firstLine="0" w:firstLineChars="0"/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各区县林业局，黄山风景区管委会园林局，局机关各科室、局属各单位：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现将</w:t>
      </w:r>
      <w:r>
        <w:rPr>
          <w:rFonts w:eastAsia="仿宋_GB2312"/>
          <w:sz w:val="32"/>
          <w:szCs w:val="32"/>
        </w:rPr>
        <w:t>《全市林业系统推进绿美江淮行动2024年工作方案》</w:t>
      </w:r>
      <w:r>
        <w:rPr>
          <w:rFonts w:hint="eastAsia" w:eastAsia="仿宋_GB2312"/>
          <w:sz w:val="32"/>
          <w:szCs w:val="32"/>
        </w:rPr>
        <w:t>印发给你们，请结合实际，认真贯彻落实。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210"/>
        <w:rPr>
          <w:rFonts w:hint="eastAsia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黄山市林业局</w:t>
      </w:r>
    </w:p>
    <w:p>
      <w:pPr>
        <w:spacing w:line="560" w:lineRule="exact"/>
        <w:ind w:firstLine="5440" w:firstLineChars="1700"/>
        <w:rPr>
          <w:rFonts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6576" w:right="1474" w:bottom="1440" w:left="1588" w:header="851" w:footer="992" w:gutter="0"/>
          <w:paperSrc/>
          <w:pgNumType w:fmt="numberInDash"/>
          <w:cols w:space="720" w:num="1"/>
          <w:docGrid w:type="lines" w:linePitch="326" w:charSpace="0"/>
        </w:sectPr>
      </w:pPr>
      <w:r>
        <w:rPr>
          <w:rFonts w:eastAsia="仿宋_GB2312"/>
          <w:sz w:val="32"/>
          <w:szCs w:val="32"/>
        </w:rPr>
        <w:t>2024年2月7日</w:t>
      </w:r>
    </w:p>
    <w:p>
      <w:pPr>
        <w:spacing w:line="540" w:lineRule="exact"/>
        <w:jc w:val="center"/>
        <w:rPr>
          <w:rFonts w:eastAsia="方正小标宋简体"/>
          <w:kern w:val="0"/>
          <w:sz w:val="44"/>
          <w:szCs w:val="44"/>
          <w:lang w:bidi="ar"/>
        </w:rPr>
      </w:pPr>
      <w:r>
        <w:rPr>
          <w:rFonts w:eastAsia="方正小标宋简体"/>
          <w:kern w:val="0"/>
          <w:sz w:val="44"/>
          <w:szCs w:val="44"/>
          <w:lang w:bidi="ar"/>
        </w:rPr>
        <w:t>全市林业系统推进绿美江淮行动</w:t>
      </w:r>
    </w:p>
    <w:p>
      <w:pPr>
        <w:spacing w:line="540" w:lineRule="exact"/>
        <w:jc w:val="center"/>
        <w:rPr>
          <w:rFonts w:eastAsia="方正小标宋简体"/>
          <w:kern w:val="0"/>
          <w:sz w:val="44"/>
          <w:szCs w:val="44"/>
          <w:lang w:bidi="ar"/>
        </w:rPr>
      </w:pPr>
      <w:r>
        <w:rPr>
          <w:rFonts w:eastAsia="方正小标宋简体"/>
          <w:kern w:val="0"/>
          <w:sz w:val="44"/>
          <w:szCs w:val="44"/>
          <w:lang w:bidi="ar"/>
        </w:rPr>
        <w:t>2024年工作方案</w:t>
      </w:r>
    </w:p>
    <w:p>
      <w:pPr>
        <w:spacing w:line="540" w:lineRule="exact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为贯彻落实《中共安徽省委办公厅 安徽省人民政府办公厅印发〈关于开展绿美江淮行动的意见〉的通知》（皖办发〔2023〕32号）精神</w:t>
      </w:r>
      <w:r>
        <w:rPr>
          <w:rFonts w:eastAsia="仿宋_GB2312"/>
          <w:sz w:val="32"/>
          <w:szCs w:val="32"/>
          <w:lang w:val="en"/>
        </w:rPr>
        <w:t>，</w:t>
      </w:r>
      <w:r>
        <w:rPr>
          <w:rFonts w:eastAsia="仿宋_GB2312"/>
          <w:sz w:val="32"/>
          <w:szCs w:val="32"/>
        </w:rPr>
        <w:t>扎实推进2024年绿美江淮行动涉林重点任务，根据省林业局《关于印发&lt;全省林业系统推进绿美江淮行动2024年工作方案&gt;的通知》（林生〔2024〕14号）要求，结合我市实际，制定如下工作方案。</w:t>
      </w:r>
    </w:p>
    <w:p>
      <w:pPr>
        <w:pStyle w:val="4"/>
        <w:spacing w:line="540" w:lineRule="exact"/>
        <w:ind w:firstLine="640"/>
      </w:pPr>
      <w:r>
        <w:t>一、总体要求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坚持以习近平生态文明思想为指导</w:t>
      </w:r>
      <w:r>
        <w:rPr>
          <w:rFonts w:eastAsia="仿宋_GB2312"/>
          <w:sz w:val="32"/>
          <w:szCs w:val="32"/>
          <w:lang w:val="en"/>
        </w:rPr>
        <w:t>，</w:t>
      </w:r>
      <w:r>
        <w:rPr>
          <w:rFonts w:eastAsia="仿宋_GB2312"/>
          <w:sz w:val="32"/>
          <w:szCs w:val="32"/>
        </w:rPr>
        <w:t>牢固树立绿水青山就是金山银山的理念</w:t>
      </w:r>
      <w:r>
        <w:rPr>
          <w:rFonts w:eastAsia="仿宋_GB2312"/>
          <w:sz w:val="32"/>
          <w:szCs w:val="32"/>
          <w:lang w:val="en"/>
        </w:rPr>
        <w:t>，</w:t>
      </w:r>
      <w:r>
        <w:rPr>
          <w:rFonts w:eastAsia="仿宋_GB2312"/>
          <w:sz w:val="32"/>
          <w:szCs w:val="32"/>
        </w:rPr>
        <w:t>按照市委、市政府部署要求</w:t>
      </w:r>
      <w:r>
        <w:rPr>
          <w:rFonts w:eastAsia="仿宋_GB2312"/>
          <w:sz w:val="32"/>
          <w:szCs w:val="32"/>
          <w:lang w:val="en"/>
        </w:rPr>
        <w:t>，</w:t>
      </w:r>
      <w:r>
        <w:rPr>
          <w:rFonts w:eastAsia="仿宋_GB2312"/>
          <w:sz w:val="32"/>
          <w:szCs w:val="32"/>
        </w:rPr>
        <w:t>充分发挥林长制优势</w:t>
      </w:r>
      <w:r>
        <w:rPr>
          <w:rFonts w:eastAsia="仿宋_GB2312"/>
          <w:sz w:val="32"/>
          <w:szCs w:val="32"/>
          <w:lang w:val="en"/>
        </w:rPr>
        <w:t>，</w:t>
      </w:r>
      <w:r>
        <w:rPr>
          <w:rFonts w:eastAsia="仿宋_GB2312"/>
          <w:sz w:val="32"/>
          <w:szCs w:val="32"/>
        </w:rPr>
        <w:t>扎实推进绿美村庄、绿美乡镇、绿美森林提升、绿色产业发展专项行动</w:t>
      </w:r>
      <w:r>
        <w:rPr>
          <w:rFonts w:eastAsia="仿宋_GB2312"/>
          <w:sz w:val="32"/>
          <w:szCs w:val="32"/>
          <w:lang w:val="en"/>
        </w:rPr>
        <w:t>，</w:t>
      </w:r>
      <w:r>
        <w:rPr>
          <w:rStyle w:val="14"/>
          <w:rFonts w:eastAsia="仿宋_GB2312"/>
          <w:i w:val="0"/>
          <w:color w:val="000000"/>
          <w:spacing w:val="-4"/>
          <w:sz w:val="32"/>
          <w:szCs w:val="32"/>
        </w:rPr>
        <w:t>协调联动一体推进绿美江淮“十大行动”，</w:t>
      </w:r>
      <w:r>
        <w:rPr>
          <w:rFonts w:eastAsia="仿宋_GB2312"/>
          <w:sz w:val="32"/>
          <w:szCs w:val="32"/>
        </w:rPr>
        <w:t>着力将生态高颜值转化为经济高价值</w:t>
      </w:r>
      <w:r>
        <w:rPr>
          <w:rFonts w:eastAsia="仿宋_GB2312"/>
          <w:sz w:val="32"/>
          <w:szCs w:val="32"/>
          <w:lang w:val="en"/>
        </w:rPr>
        <w:t>，</w:t>
      </w:r>
      <w:r>
        <w:rPr>
          <w:rFonts w:eastAsia="仿宋_GB2312"/>
          <w:sz w:val="32"/>
          <w:szCs w:val="32"/>
        </w:rPr>
        <w:t>为加快建设山水秀美的生态强市作出林业贡献。</w:t>
      </w:r>
    </w:p>
    <w:p>
      <w:pPr>
        <w:pStyle w:val="4"/>
        <w:spacing w:line="540" w:lineRule="exact"/>
        <w:ind w:firstLine="640"/>
      </w:pPr>
      <w:r>
        <w:t>二、主要任务</w:t>
      </w:r>
    </w:p>
    <w:p>
      <w:pPr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（一）坚持“科学、生态、节俭”原则，科学开展国土增绿。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1.科学利用规划成果。</w:t>
      </w:r>
      <w:r>
        <w:rPr>
          <w:rFonts w:eastAsia="仿宋_GB2312"/>
          <w:sz w:val="32"/>
          <w:szCs w:val="32"/>
        </w:rPr>
        <w:t>用好在国土空间规划中明确造林绿化空间的工作成果，与国土空间规划相衔接，根据我市实际和森林资源禀赋，科学推进在造林绿化空间中开展人工造林。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牵头领导：吴赛君；责任单位：生态保护修复科，此项及以下各项任务均需县级林业部门落实，不再列出）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2.科学确定造林空间。</w:t>
      </w:r>
      <w:r>
        <w:rPr>
          <w:rFonts w:eastAsia="仿宋_GB2312"/>
          <w:sz w:val="32"/>
          <w:szCs w:val="32"/>
        </w:rPr>
        <w:t>完善造林绿化落地上图审查工作，加强与资规、水利、农业等部门沟通，对照图斑，明晰边界，切实防止违规占用耕地或永久基本农田绿化造林问题发生，有效保障绿化用地。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牵头领导：吴赛君；责任单位：生态保护修复科、市林业调查规划设计院）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3.科学确定绿化任务。</w:t>
      </w:r>
      <w:r>
        <w:rPr>
          <w:rFonts w:eastAsia="仿宋_GB2312"/>
          <w:sz w:val="32"/>
          <w:szCs w:val="32"/>
          <w:lang w:val="zh-CN"/>
        </w:rPr>
        <w:t>推进新安江生态廊道建设工程、黄山地区水土保持与生态修复项目，</w:t>
      </w:r>
      <w:r>
        <w:rPr>
          <w:rFonts w:eastAsia="仿宋_GB2312"/>
          <w:sz w:val="32"/>
          <w:szCs w:val="32"/>
        </w:rPr>
        <w:t>2024年，全市实施</w:t>
      </w:r>
      <w:r>
        <w:rPr>
          <w:rFonts w:eastAsia="仿宋_GB2312"/>
          <w:spacing w:val="-4"/>
          <w:sz w:val="32"/>
          <w:szCs w:val="32"/>
          <w:lang w:val="zh-CN"/>
        </w:rPr>
        <w:t>营造林57.269万亩，其中人工造林1.669万亩、封山育林15.6万亩、森林抚育30万亩、退化林修复10万亩。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牵头领导：吴赛君；责任单位：生态保护修复科）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4.科学选用造林树种。</w:t>
      </w:r>
      <w:r>
        <w:rPr>
          <w:rFonts w:eastAsia="仿宋_GB2312"/>
          <w:sz w:val="32"/>
          <w:szCs w:val="32"/>
          <w:lang w:val="zh-CN" w:bidi="ar"/>
        </w:rPr>
        <w:t>加强林草植物新品种保护和林木种苗质量执法监管，</w:t>
      </w:r>
      <w:r>
        <w:rPr>
          <w:rFonts w:eastAsia="仿宋_GB2312"/>
          <w:sz w:val="32"/>
          <w:szCs w:val="32"/>
        </w:rPr>
        <w:t>优先采用优良乡土树种进行国土绿化，加强林木良种和省定碳汇树种推广。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牵头领导：吴赛君；责任单位：生态保护修复科、规划财务科、市林业科学研究所）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5.科学谋划和实施国土绿化重大项目。</w:t>
      </w:r>
      <w:r>
        <w:rPr>
          <w:rFonts w:eastAsia="仿宋_GB2312"/>
          <w:sz w:val="32"/>
          <w:szCs w:val="32"/>
        </w:rPr>
        <w:t>借鉴长三角地区开展国土绿化重大项目经验，科学谋划和编报项目</w:t>
      </w:r>
      <w:r>
        <w:rPr>
          <w:rFonts w:eastAsia="仿宋_GB2312"/>
          <w:sz w:val="32"/>
          <w:szCs w:val="32"/>
          <w:lang w:val="en"/>
        </w:rPr>
        <w:t>。</w:t>
      </w:r>
      <w:r>
        <w:rPr>
          <w:rFonts w:eastAsia="仿宋_GB2312"/>
          <w:sz w:val="32"/>
          <w:szCs w:val="32"/>
        </w:rPr>
        <w:t>完成黄山市国土绿化试点示范项目，充分发挥示范带头作用。</w:t>
      </w:r>
      <w:r>
        <w:rPr>
          <w:rFonts w:eastAsia="仿宋_GB2312"/>
          <w:sz w:val="32"/>
          <w:szCs w:val="32"/>
          <w:lang w:val="en"/>
        </w:rPr>
        <w:t>完善重大项目管理制度，确保项目质量合格、资金安全。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牵头领导：吴赛君；责任单位：生态保护修复科、规划财务科）</w:t>
      </w:r>
    </w:p>
    <w:p>
      <w:pPr>
        <w:spacing w:line="540" w:lineRule="exact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（二）开展绿美森林质量提升行动，持续推进森林增质。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6.实施省级森林质量提升示范项目。</w:t>
      </w:r>
      <w:r>
        <w:rPr>
          <w:rFonts w:eastAsia="仿宋_GB2312"/>
          <w:sz w:val="32"/>
          <w:szCs w:val="32"/>
        </w:rPr>
        <w:t>2024年，全市实施省级森林质量提升示范项目4个，其中退化林修复示范项目2个、森林抚育示范项目2个。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牵头领导：吴赛君；责任单位：生态保护修复科）</w:t>
      </w:r>
    </w:p>
    <w:p>
      <w:pPr>
        <w:pStyle w:val="6"/>
        <w:spacing w:after="0" w:line="540" w:lineRule="exact"/>
        <w:ind w:firstLine="643" w:firstLineChars="200"/>
        <w:rPr>
          <w:b/>
          <w:bCs/>
        </w:rPr>
      </w:pPr>
      <w:r>
        <w:rPr>
          <w:rFonts w:eastAsia="仿宋_GB2312"/>
          <w:b/>
          <w:bCs/>
          <w:sz w:val="32"/>
          <w:szCs w:val="32"/>
        </w:rPr>
        <w:t>7.开展全国森林可持续经营试点。</w:t>
      </w:r>
      <w:r>
        <w:rPr>
          <w:rFonts w:eastAsia="仿宋_GB2312"/>
          <w:sz w:val="32"/>
          <w:szCs w:val="32"/>
        </w:rPr>
        <w:t>做好新一轮可持续经营试点工作，保障歙县歙西国有林场450亩任务顺利推进实施。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牵头领导：林燊；责任单位：森林资源和自然保护地管理科、生态保护修复科、市</w:t>
      </w:r>
      <w:r>
        <w:rPr>
          <w:rFonts w:hint="eastAsia" w:eastAsia="楷体_GB2312"/>
          <w:sz w:val="32"/>
          <w:szCs w:val="32"/>
        </w:rPr>
        <w:t>自然</w:t>
      </w:r>
      <w:r>
        <w:rPr>
          <w:rFonts w:eastAsia="楷体_GB2312"/>
          <w:sz w:val="32"/>
          <w:szCs w:val="32"/>
        </w:rPr>
        <w:t>保护区管理处）</w:t>
      </w:r>
    </w:p>
    <w:p>
      <w:pPr>
        <w:pStyle w:val="16"/>
        <w:spacing w:after="0" w:line="540" w:lineRule="exact"/>
        <w:ind w:firstLine="643" w:firstLineChars="200"/>
      </w:pPr>
      <w:r>
        <w:rPr>
          <w:rFonts w:eastAsia="仿宋_GB2312"/>
          <w:b/>
          <w:bCs/>
          <w:sz w:val="32"/>
          <w:szCs w:val="32"/>
        </w:rPr>
        <w:t>8.稳妥推进国家储备林建设管理。</w:t>
      </w:r>
      <w:r>
        <w:rPr>
          <w:rFonts w:eastAsia="仿宋_GB2312"/>
          <w:sz w:val="32"/>
          <w:szCs w:val="32"/>
        </w:rPr>
        <w:t>从落实用地、建设程序、资金使用等方面规范国家储备林建设管理。根据当前各区县进展和实际情况，分类指导相关区县稳妥推进国家储备林建设。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牵头领导：吴赛君；责任单位：生态保护修复科、规划财务科）</w:t>
      </w:r>
    </w:p>
    <w:p>
      <w:pPr>
        <w:pStyle w:val="6"/>
        <w:spacing w:after="0" w:line="54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9.加强自然保护地生态修复。</w:t>
      </w:r>
      <w:r>
        <w:rPr>
          <w:rFonts w:eastAsia="仿宋_GB2312"/>
          <w:sz w:val="32"/>
          <w:szCs w:val="32"/>
          <w:lang w:val="zh-CN" w:bidi="ar"/>
        </w:rPr>
        <w:t>推进自然保护地生态修复和能力建设项目，推进最美自然保护地建设。加强湿地保护修复和宣传，完善提升湿地保护协作机制，实施休宁县横江湿地公园保护修复工程。（</w:t>
      </w:r>
      <w:r>
        <w:rPr>
          <w:rFonts w:eastAsia="楷体"/>
          <w:sz w:val="32"/>
          <w:szCs w:val="32"/>
          <w:lang w:val="zh-CN" w:bidi="ar"/>
        </w:rPr>
        <w:t>牵头领导：</w:t>
      </w:r>
      <w:r>
        <w:rPr>
          <w:rFonts w:eastAsia="仿宋_GB2312"/>
          <w:sz w:val="32"/>
          <w:szCs w:val="32"/>
          <w:lang w:val="zh-CN" w:bidi="ar"/>
        </w:rPr>
        <w:t>林</w:t>
      </w:r>
      <w:r>
        <w:rPr>
          <w:rFonts w:eastAsia="仿宋"/>
          <w:sz w:val="32"/>
          <w:szCs w:val="32"/>
          <w:lang w:val="zh-CN" w:bidi="ar"/>
        </w:rPr>
        <w:t>燊</w:t>
      </w:r>
      <w:r>
        <w:rPr>
          <w:rFonts w:eastAsia="楷体"/>
          <w:sz w:val="32"/>
          <w:szCs w:val="32"/>
          <w:lang w:val="zh-CN" w:bidi="ar"/>
        </w:rPr>
        <w:t>；责任单位：市自然保护区管理处、</w:t>
      </w:r>
      <w:r>
        <w:rPr>
          <w:rFonts w:eastAsia="楷体_GB2312"/>
          <w:sz w:val="32"/>
          <w:szCs w:val="32"/>
        </w:rPr>
        <w:t>市林业调查规划设计院、规划财务科、科学技术和林业产业科</w:t>
      </w:r>
      <w:r>
        <w:rPr>
          <w:rFonts w:eastAsia="仿宋_GB2312"/>
          <w:sz w:val="32"/>
          <w:szCs w:val="32"/>
          <w:lang w:val="zh-CN" w:bidi="ar"/>
        </w:rPr>
        <w:t>）</w:t>
      </w:r>
    </w:p>
    <w:p>
      <w:pPr>
        <w:pStyle w:val="16"/>
        <w:spacing w:after="0"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10.加大野生动植物保护力度。</w:t>
      </w:r>
      <w:r>
        <w:rPr>
          <w:rFonts w:eastAsia="仿宋_GB2312"/>
          <w:sz w:val="32"/>
          <w:szCs w:val="32"/>
          <w:lang w:val="zh-CN" w:bidi="ar"/>
        </w:rPr>
        <w:t>全面加强黄山梅、花榈木等珍稀濒危野生动植物及其栖息地保护，加强冬春季候鸟等野生动物保护工作。推进野生动物致害保险和补偿工作，科学开展野猪危害防控，学习探索野猪猎获物综合利用。（</w:t>
      </w:r>
      <w:r>
        <w:rPr>
          <w:rFonts w:eastAsia="楷体"/>
          <w:sz w:val="32"/>
          <w:szCs w:val="32"/>
          <w:lang w:val="zh-CN" w:bidi="ar"/>
        </w:rPr>
        <w:t>牵头领导：</w:t>
      </w:r>
      <w:r>
        <w:rPr>
          <w:rFonts w:eastAsia="仿宋_GB2312"/>
          <w:sz w:val="32"/>
          <w:szCs w:val="32"/>
          <w:lang w:val="zh-CN" w:bidi="ar"/>
        </w:rPr>
        <w:t>林燊</w:t>
      </w:r>
      <w:r>
        <w:rPr>
          <w:rFonts w:eastAsia="楷体"/>
          <w:sz w:val="32"/>
          <w:szCs w:val="32"/>
          <w:lang w:val="zh-CN" w:bidi="ar"/>
        </w:rPr>
        <w:t>；责任单位：市自然保护区管理处、规划财务科、生态保护修复科、市林业科学研究所</w:t>
      </w:r>
      <w:r>
        <w:rPr>
          <w:rFonts w:eastAsia="仿宋_GB2312"/>
          <w:sz w:val="32"/>
          <w:szCs w:val="32"/>
          <w:lang w:val="zh-CN" w:bidi="ar"/>
        </w:rPr>
        <w:t>）</w:t>
      </w:r>
    </w:p>
    <w:p>
      <w:pPr>
        <w:pStyle w:val="6"/>
        <w:spacing w:after="0" w:line="54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bookmarkStart w:id="0" w:name="_Hlk158055466"/>
      <w:r>
        <w:rPr>
          <w:rFonts w:eastAsia="仿宋_GB2312"/>
          <w:b/>
          <w:bCs/>
          <w:sz w:val="32"/>
          <w:szCs w:val="32"/>
        </w:rPr>
        <w:t>11.</w:t>
      </w:r>
      <w:bookmarkEnd w:id="0"/>
      <w:r>
        <w:rPr>
          <w:rFonts w:eastAsia="仿宋_GB2312"/>
          <w:b/>
          <w:bCs/>
          <w:sz w:val="32"/>
          <w:szCs w:val="32"/>
        </w:rPr>
        <w:t>扎实推进全国森林防火网格化管理试点建设。</w:t>
      </w:r>
      <w:r>
        <w:rPr>
          <w:rFonts w:eastAsia="仿宋_GB2312"/>
          <w:sz w:val="32"/>
          <w:szCs w:val="32"/>
        </w:rPr>
        <w:t>贯彻实施《黄山市全面推进森林防火网格化管理试点建设实施方案》，制定实施细则。组织开展各级各类示范网格建设，</w:t>
      </w:r>
      <w:r>
        <w:rPr>
          <w:rFonts w:eastAsia="仿宋_GB2312"/>
          <w:bCs/>
          <w:sz w:val="32"/>
          <w:szCs w:val="32"/>
          <w:lang w:val="zh-CN" w:bidi="ar"/>
        </w:rPr>
        <w:t>组建森林防灭火专家库。落实森林违法违规野外用火举报奖励机制，推广将森林防火纳入村规民约等有效做法。强化森林防火信息化系统应用，推动黄山风景区开展智慧网格试点工作。</w:t>
      </w:r>
      <w:r>
        <w:rPr>
          <w:rFonts w:eastAsia="仿宋_GB2312"/>
          <w:sz w:val="32"/>
          <w:szCs w:val="32"/>
        </w:rPr>
        <w:t>确保全市森林火灾受害率稳定控制在0.3‰以内。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牵头领导：吴赛君；责任单位：森林防火科）</w:t>
      </w:r>
    </w:p>
    <w:p>
      <w:pPr>
        <w:pStyle w:val="6"/>
        <w:spacing w:after="0" w:line="54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12.扎实推进松材线虫病疫情防控五年攻坚行动。</w:t>
      </w:r>
      <w:r>
        <w:rPr>
          <w:rFonts w:eastAsia="仿宋_GB2312"/>
          <w:sz w:val="32"/>
          <w:szCs w:val="32"/>
        </w:rPr>
        <w:t>攻坚提级，开展黄山松材线虫病疫情歼灭战，全面落实2024年度实施方案。统筹疫情防控与生态修复，严格检疫执法和疫源阻截，深化市内、市际、省际间联防联控，广泛宣传动员，进一步防范化解黄山松染病风险，确保古松名松绝对安全，巩固和扩大黄山松材线虫病疫情防控攻坚行动成果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牵头领导：王歆；责任单位：市林业有害生物防治检疫站）</w:t>
      </w:r>
    </w:p>
    <w:p>
      <w:pPr>
        <w:spacing w:line="540" w:lineRule="exact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（三）开展绿美村庄和绿美乡镇行动，积极推进乡村增美。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13.持续深化森林村庄建设。</w:t>
      </w:r>
      <w:r>
        <w:rPr>
          <w:rFonts w:eastAsia="仿宋_GB2312"/>
          <w:sz w:val="32"/>
          <w:szCs w:val="32"/>
        </w:rPr>
        <w:t>在村庄内</w:t>
      </w:r>
      <w:r>
        <w:rPr>
          <w:rFonts w:eastAsia="仿宋_GB2312"/>
          <w:sz w:val="32"/>
          <w:szCs w:val="32"/>
          <w:lang w:val="en"/>
        </w:rPr>
        <w:t>，</w:t>
      </w:r>
      <w:r>
        <w:rPr>
          <w:rFonts w:eastAsia="仿宋_GB2312"/>
          <w:sz w:val="32"/>
          <w:szCs w:val="32"/>
        </w:rPr>
        <w:t>开展“四旁”绿化</w:t>
      </w:r>
      <w:r>
        <w:rPr>
          <w:rFonts w:eastAsia="仿宋_GB2312"/>
          <w:sz w:val="32"/>
          <w:szCs w:val="32"/>
          <w:lang w:val="en"/>
        </w:rPr>
        <w:t>，</w:t>
      </w:r>
      <w:r>
        <w:rPr>
          <w:rFonts w:eastAsia="仿宋_GB2312"/>
          <w:sz w:val="32"/>
          <w:szCs w:val="32"/>
        </w:rPr>
        <w:t>见缝插绿</w:t>
      </w:r>
      <w:r>
        <w:rPr>
          <w:rFonts w:eastAsia="仿宋_GB2312"/>
          <w:sz w:val="32"/>
          <w:szCs w:val="32"/>
          <w:lang w:val="en"/>
        </w:rPr>
        <w:t>，</w:t>
      </w:r>
      <w:r>
        <w:rPr>
          <w:rFonts w:eastAsia="仿宋_GB2312"/>
          <w:sz w:val="32"/>
          <w:szCs w:val="32"/>
        </w:rPr>
        <w:t>宜绿尽绿。鼓励和支持村民利用庭院和房前屋后等资源</w:t>
      </w:r>
      <w:r>
        <w:rPr>
          <w:rFonts w:eastAsia="仿宋_GB2312"/>
          <w:sz w:val="32"/>
          <w:szCs w:val="32"/>
          <w:lang w:val="en"/>
        </w:rPr>
        <w:t>，</w:t>
      </w:r>
      <w:r>
        <w:rPr>
          <w:rFonts w:eastAsia="仿宋_GB2312"/>
          <w:sz w:val="32"/>
          <w:szCs w:val="32"/>
        </w:rPr>
        <w:t>打造“五微”庭院景观。2024年，全市打造绿美村庄17个、森林村庄 11个。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牵头领导：吴赛君；责任单位：生态保护修复科）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14.持续深化森林城镇建设。</w:t>
      </w:r>
      <w:r>
        <w:rPr>
          <w:rFonts w:eastAsia="仿宋_GB2312"/>
          <w:sz w:val="32"/>
          <w:szCs w:val="32"/>
        </w:rPr>
        <w:t>在乡镇政府驻地、临街道路两侧实施补绿增绿</w:t>
      </w:r>
      <w:r>
        <w:rPr>
          <w:rFonts w:eastAsia="仿宋_GB2312"/>
          <w:sz w:val="32"/>
          <w:szCs w:val="32"/>
          <w:lang w:val="en"/>
        </w:rPr>
        <w:t>，</w:t>
      </w:r>
      <w:r>
        <w:rPr>
          <w:rFonts w:eastAsia="仿宋_GB2312"/>
          <w:sz w:val="32"/>
          <w:szCs w:val="32"/>
        </w:rPr>
        <w:t>营造以乔灌木为主体的花坛花境、园林小品等公共绿地。积极推广墙面绿化、门庭绿化等立体绿化</w:t>
      </w:r>
      <w:r>
        <w:rPr>
          <w:rFonts w:eastAsia="仿宋_GB2312"/>
          <w:sz w:val="32"/>
          <w:szCs w:val="32"/>
          <w:lang w:val="en"/>
        </w:rPr>
        <w:t>，</w:t>
      </w:r>
      <w:r>
        <w:rPr>
          <w:rFonts w:eastAsia="仿宋_GB2312"/>
          <w:sz w:val="32"/>
          <w:szCs w:val="32"/>
        </w:rPr>
        <w:t>实现街道两侧和居民门前绿化美化提档升级。2024年，全市打造绿美乡镇8个、森林城镇3个。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牵头领导：吴赛君；责任单位：生态保护修复科）</w:t>
      </w:r>
    </w:p>
    <w:p>
      <w:pPr>
        <w:spacing w:line="540" w:lineRule="exact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（四）开展绿色产业发展行动，全面推动产业增效。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15.推进林业“双招双引”。</w:t>
      </w:r>
      <w:r>
        <w:rPr>
          <w:rFonts w:eastAsia="仿宋_GB2312"/>
          <w:sz w:val="32"/>
          <w:szCs w:val="32"/>
          <w:lang w:val="zh-CN" w:bidi="ar"/>
        </w:rPr>
        <w:t>建立林业“双招双引”项目和重点企业储备库。</w:t>
      </w:r>
      <w:r>
        <w:rPr>
          <w:rFonts w:eastAsia="仿宋_GB2312"/>
          <w:sz w:val="32"/>
          <w:szCs w:val="32"/>
        </w:rPr>
        <w:t>着力打造特色经济林、木竹综合利用、生态旅游与森林康养、苗木花卉产业，吸引更多市场主体和社会资本“进山入林”。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牵头领导：张运斌；责任单位：科学技术和林业产业科</w:t>
      </w:r>
      <w:r>
        <w:rPr>
          <w:rFonts w:hint="eastAsia" w:eastAsia="楷体_GB2312"/>
          <w:sz w:val="32"/>
          <w:szCs w:val="32"/>
        </w:rPr>
        <w:t>、</w:t>
      </w:r>
      <w:r>
        <w:rPr>
          <w:rFonts w:eastAsia="楷体_GB2312"/>
          <w:sz w:val="32"/>
          <w:szCs w:val="32"/>
        </w:rPr>
        <w:t>市林木种苗站、市自然保护区管理处）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16.培育新型经营主体。</w:t>
      </w:r>
      <w:r>
        <w:rPr>
          <w:rFonts w:eastAsia="仿宋_GB2312"/>
          <w:sz w:val="32"/>
          <w:szCs w:val="32"/>
        </w:rPr>
        <w:t>做好国家林下经济示范基地、省级特色林业高质量发展示范园、省级森林康养基地、农民林业专业合作社示范社、家庭林场申报</w:t>
      </w:r>
      <w:r>
        <w:rPr>
          <w:rFonts w:eastAsia="仿宋_GB2312"/>
          <w:sz w:val="32"/>
          <w:szCs w:val="32"/>
          <w:lang w:val="zh-CN" w:bidi="ar"/>
        </w:rPr>
        <w:t>，</w:t>
      </w:r>
      <w:r>
        <w:rPr>
          <w:rFonts w:eastAsia="仿宋_GB2312"/>
          <w:sz w:val="32"/>
          <w:szCs w:val="32"/>
        </w:rPr>
        <w:t>建强联农带农平台，认定一批森林康养基地、农民林业专业合作社示范社和示范家庭林场。2024年，争创省级特色林业高质量发展示范园4个。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牵头领导：张运斌；责任单位：科学技术和林业产业科）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17.加强木本油料发展。</w:t>
      </w:r>
      <w:r>
        <w:rPr>
          <w:rFonts w:eastAsia="仿宋_GB2312"/>
          <w:sz w:val="32"/>
          <w:szCs w:val="32"/>
        </w:rPr>
        <w:t>加快实施油茶高质量发展三年行动，2024年，完成油茶林新造和低产低效林改造各1万亩，推进歙县省级木本油料产业示范园建设。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牵头领导：吴赛君；责任单位：生态保护修复科）</w:t>
      </w:r>
    </w:p>
    <w:p>
      <w:pPr>
        <w:spacing w:line="540" w:lineRule="exact"/>
        <w:ind w:firstLine="643" w:firstLineChars="200"/>
        <w:rPr>
          <w:rFonts w:eastAsia="楷体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18.推动竹产业转型升级。</w:t>
      </w:r>
      <w:r>
        <w:rPr>
          <w:rFonts w:eastAsia="仿宋_GB2312"/>
          <w:sz w:val="32"/>
          <w:szCs w:val="32"/>
        </w:rPr>
        <w:t>贯彻落实《加快“以竹代塑”发展三年行动计划》，加强竹林资源培育，提升竹林经营水平，培育竹产业新业态。</w:t>
      </w:r>
      <w:r>
        <w:rPr>
          <w:rFonts w:hint="eastAsia" w:eastAsia="仿宋_GB2312"/>
          <w:sz w:val="32"/>
          <w:szCs w:val="32"/>
        </w:rPr>
        <w:t>积极创建省级“以竹代塑”产业应用推广基地建设。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牵头领导：张运斌；责任单位：科学技术和林业产业科、生态保护修复科）</w:t>
      </w:r>
    </w:p>
    <w:p>
      <w:pPr>
        <w:pStyle w:val="7"/>
        <w:spacing w:line="540" w:lineRule="exact"/>
        <w:ind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19.</w:t>
      </w:r>
      <w:r>
        <w:rPr>
          <w:rFonts w:eastAsia="仿宋_GB2312"/>
          <w:b/>
          <w:bCs/>
          <w:sz w:val="32"/>
          <w:szCs w:val="32"/>
          <w:lang w:val="zh-CN" w:bidi="ar"/>
        </w:rPr>
        <w:t>提升林下经济发展水平</w:t>
      </w:r>
      <w:r>
        <w:rPr>
          <w:rFonts w:eastAsia="仿宋_GB2312"/>
          <w:b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做好林业“土特产”文章。</w:t>
      </w:r>
      <w:r>
        <w:rPr>
          <w:rFonts w:eastAsia="仿宋_GB2312"/>
          <w:bCs/>
          <w:sz w:val="32"/>
          <w:szCs w:val="32"/>
          <w:lang w:val="zh-CN" w:bidi="ar"/>
        </w:rPr>
        <w:t>支持发展林下中药材和食用菌产业。开展黄山市林下中药材生态化种植基地建设，打造一批标准高、质量优的道地林下中药材种植基地。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牵头领导：张运斌；责任单位：科学技术和林业产业科、</w:t>
      </w:r>
      <w:r>
        <w:rPr>
          <w:rFonts w:eastAsia="楷体_GB2312"/>
          <w:sz w:val="32"/>
          <w:szCs w:val="32"/>
          <w:lang w:val="zh-CN"/>
        </w:rPr>
        <w:t>规划财务科、</w:t>
      </w:r>
      <w:r>
        <w:rPr>
          <w:rFonts w:eastAsia="楷体_GB2312"/>
          <w:sz w:val="32"/>
          <w:szCs w:val="32"/>
        </w:rPr>
        <w:t>生态保护修复科）</w:t>
      </w:r>
    </w:p>
    <w:p>
      <w:pPr>
        <w:pStyle w:val="5"/>
        <w:spacing w:after="0" w:line="540" w:lineRule="exact"/>
        <w:ind w:firstLine="643" w:firstLineChars="200"/>
        <w:rPr>
          <w:rFonts w:eastAsia="楷体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20.发展绿色金融服务。</w:t>
      </w:r>
      <w:r>
        <w:rPr>
          <w:rFonts w:eastAsia="仿宋_GB2312"/>
          <w:sz w:val="32"/>
          <w:szCs w:val="32"/>
          <w:lang w:val="zh-CN"/>
        </w:rPr>
        <w:t>丰富林业特色保险品种，推动森林保险融资增信，</w:t>
      </w:r>
      <w:r>
        <w:rPr>
          <w:rFonts w:eastAsia="仿宋_GB2312"/>
          <w:color w:val="000000"/>
          <w:sz w:val="32"/>
          <w:szCs w:val="32"/>
          <w:lang w:val="zh-CN" w:bidi="ar"/>
        </w:rPr>
        <w:t>推进林权抵押贷款，完善林权融资配套服务，</w:t>
      </w:r>
      <w:r>
        <w:rPr>
          <w:rFonts w:eastAsia="仿宋_GB2312"/>
          <w:sz w:val="32"/>
          <w:szCs w:val="32"/>
        </w:rPr>
        <w:t>充分激发林业改革发展的内生动力。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牵头领导：吴赛君；责任单位：规划财务科、森林资源和自然保护地管理科、政策法规科、科学技术和林业产业科）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21.全力提升林业产值。</w:t>
      </w:r>
      <w:r>
        <w:rPr>
          <w:rFonts w:eastAsia="仿宋_GB2312"/>
          <w:sz w:val="32"/>
          <w:szCs w:val="32"/>
        </w:rPr>
        <w:t>加强人工造林、森林抚育、木竹采运、林产品采集等四方面任务落实。</w:t>
      </w:r>
      <w:r>
        <w:rPr>
          <w:rFonts w:eastAsia="仿宋_GB2312"/>
          <w:sz w:val="32"/>
          <w:szCs w:val="32"/>
          <w:lang w:val="zh-CN" w:bidi="ar"/>
        </w:rPr>
        <w:t>开展林业企业调查摸底，加强林业统计工作，</w:t>
      </w:r>
      <w:r>
        <w:rPr>
          <w:rFonts w:eastAsia="仿宋_GB2312"/>
          <w:sz w:val="32"/>
          <w:szCs w:val="32"/>
        </w:rPr>
        <w:t>协同统计部门做到林业产值应统尽统。2024年，全市林业总产值力争达到480亿元。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牵头领导：吴赛君；责任单位：规划财务科、生态保护修复科、森林资源和自然保护地管理科、科学技术和林业产业科）</w:t>
      </w:r>
    </w:p>
    <w:p>
      <w:pPr>
        <w:spacing w:line="540" w:lineRule="exact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（五）着力推动示范引领，以点带面推进绿美江淮行动。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22.深化国有林场改革。</w:t>
      </w:r>
      <w:r>
        <w:rPr>
          <w:rFonts w:eastAsia="仿宋_GB2312"/>
          <w:sz w:val="32"/>
          <w:szCs w:val="32"/>
        </w:rPr>
        <w:t>利用国有林场技术、人才和经营管理等优势，</w:t>
      </w:r>
      <w:r>
        <w:rPr>
          <w:rFonts w:eastAsia="仿宋_GB2312"/>
          <w:sz w:val="32"/>
          <w:szCs w:val="32"/>
          <w:lang w:val="zh-CN"/>
        </w:rPr>
        <w:t>认真实施“百场带千村”行动，支持国有林场参与集体林经营，</w:t>
      </w:r>
      <w:r>
        <w:rPr>
          <w:rFonts w:eastAsia="仿宋_GB2312"/>
          <w:sz w:val="32"/>
          <w:szCs w:val="32"/>
        </w:rPr>
        <w:t>打造具有影响力的示范国有林场，积极组织创建示范国有林场。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牵头领导：林燊；责任单位：市自然保护区管理处、市博村林场、森林资源和自然保护地管理科、局林长制办公室、生态保护修复科、规划财务科、森林防火科、市林业有害生物防治检疫站）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23.加强古树名木保护。</w:t>
      </w:r>
      <w:r>
        <w:rPr>
          <w:rFonts w:eastAsia="仿宋_GB2312"/>
          <w:sz w:val="32"/>
          <w:szCs w:val="32"/>
        </w:rPr>
        <w:t>会同安徽省徽学学会，完成《徽州千年古树》课题研究。建设兼具生态、景观、宣教、科研等功能的古树公园。2024年，全市建设提升古树公园2个。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牵头领导：林燊；责任单位：市自然保护区管理处）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24.高标准打造示范点。</w:t>
      </w:r>
      <w:r>
        <w:rPr>
          <w:rFonts w:eastAsia="仿宋_GB2312"/>
          <w:sz w:val="32"/>
          <w:szCs w:val="32"/>
        </w:rPr>
        <w:t>结合绿美江淮行动目标和黄山生态功能定位，在深化新一轮森林可持续经营试点、推动黄山风景区开展智慧网格试点建设、全面打响黄山松材线虫病疫情歼灭战、建设国土绿化试点示范项目、实施“百场带千村”行动、提升林下经济发展水平等方面谋深做实，发挥示范作用。2024年，打造绿美江淮示范点2个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牵头领导：吴赛君；责任单位：局工作专班）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三、有关要求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（一）加强组织领导。</w:t>
      </w:r>
      <w:r>
        <w:rPr>
          <w:rFonts w:eastAsia="仿宋_GB2312"/>
          <w:sz w:val="32"/>
          <w:szCs w:val="32"/>
        </w:rPr>
        <w:t>市林业局成立推进绿美江淮行动领导小组和工作专班，主要负责同志任领导小组组长，分管负责同志任常务副组长、兼工作专班负责人，在扎实做好林业系统推进绿美江淮行动相关工作的同时，统筹做好全市绿美江淮行动实施方案编制和任务分解，建立职责明确、协调联动的工作机制，一体推进绿美江淮“十大行动”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牵头领导：方蓉艳；责任单位：局工作专班）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（二）强化考核调度。</w:t>
      </w:r>
      <w:r>
        <w:rPr>
          <w:rFonts w:eastAsia="仿宋_GB2312"/>
          <w:sz w:val="32"/>
          <w:szCs w:val="32"/>
        </w:rPr>
        <w:t>将绿美江淮行动实施情况纳入林长制考核，定期调度绿美江淮行动涉林任务。充分依托林长会议、绿委会会议</w:t>
      </w:r>
      <w:r>
        <w:rPr>
          <w:rFonts w:eastAsia="仿宋_GB2312"/>
          <w:sz w:val="32"/>
          <w:szCs w:val="32"/>
          <w:lang w:val="en"/>
        </w:rPr>
        <w:t>，</w:t>
      </w:r>
      <w:r>
        <w:rPr>
          <w:rFonts w:eastAsia="仿宋_GB2312"/>
          <w:sz w:val="32"/>
          <w:szCs w:val="32"/>
        </w:rPr>
        <w:t>加强统筹调度、协调联动</w:t>
      </w:r>
      <w:r>
        <w:rPr>
          <w:rFonts w:eastAsia="仿宋_GB2312"/>
          <w:sz w:val="32"/>
          <w:szCs w:val="32"/>
          <w:lang w:val="en"/>
        </w:rPr>
        <w:t>，</w:t>
      </w:r>
      <w:r>
        <w:rPr>
          <w:rFonts w:eastAsia="仿宋_GB2312"/>
          <w:sz w:val="32"/>
          <w:szCs w:val="32"/>
        </w:rPr>
        <w:t>全力推进绿美江淮行动任务落细落实。各区县林业主管部门要建立相应工作机制，制定具体工作计划。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牵头领导：吴赛君；责任单位：局工作专班）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（三）加大资金争取。</w:t>
      </w:r>
      <w:r>
        <w:rPr>
          <w:rFonts w:eastAsia="仿宋_GB2312"/>
          <w:sz w:val="32"/>
          <w:szCs w:val="32"/>
        </w:rPr>
        <w:t>统筹涉林资金，谋划实施重点建设项目，积极争取省</w:t>
      </w:r>
      <w:r>
        <w:rPr>
          <w:rFonts w:hint="eastAsia" w:eastAsia="仿宋_GB2312"/>
          <w:sz w:val="32"/>
          <w:szCs w:val="32"/>
        </w:rPr>
        <w:t>级</w:t>
      </w:r>
      <w:r>
        <w:rPr>
          <w:rFonts w:eastAsia="仿宋_GB2312"/>
          <w:sz w:val="32"/>
          <w:szCs w:val="32"/>
        </w:rPr>
        <w:t>绿美江淮行动专项子基金、</w:t>
      </w:r>
      <w:r>
        <w:rPr>
          <w:rFonts w:eastAsia="仿宋_GB2312"/>
          <w:color w:val="000000"/>
          <w:sz w:val="32"/>
          <w:szCs w:val="32"/>
        </w:rPr>
        <w:t>新安江-千岛湖生态环境共同保护合作发展专项资金和中央、省各类专项支持。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牵头领导：吴赛君；责任单位：局工作专班）</w:t>
      </w:r>
    </w:p>
    <w:p>
      <w:pPr>
        <w:spacing w:line="540" w:lineRule="exact"/>
        <w:ind w:firstLine="643" w:firstLineChars="200"/>
        <w:rPr>
          <w:rFonts w:eastAsia="楷体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（四）强化宣传引导。</w:t>
      </w:r>
      <w:r>
        <w:rPr>
          <w:rFonts w:eastAsia="仿宋_GB2312"/>
          <w:sz w:val="32"/>
          <w:szCs w:val="32"/>
        </w:rPr>
        <w:t>广泛普及科学绿化知识，创新义务植树组织方式和尽责形式</w:t>
      </w:r>
      <w:r>
        <w:rPr>
          <w:rFonts w:eastAsia="仿宋_GB2312"/>
          <w:sz w:val="32"/>
          <w:szCs w:val="32"/>
          <w:lang w:val="en"/>
        </w:rPr>
        <w:t>，</w:t>
      </w:r>
      <w:r>
        <w:rPr>
          <w:rFonts w:eastAsia="仿宋_GB2312"/>
          <w:sz w:val="32"/>
          <w:szCs w:val="32"/>
        </w:rPr>
        <w:t>营造人人植绿增美浓厚氛围。在示范建设中要因地制宜制作体现绿美江淮行动的标识标牌</w:t>
      </w:r>
      <w:r>
        <w:rPr>
          <w:rFonts w:eastAsia="仿宋_GB2312"/>
          <w:sz w:val="32"/>
          <w:szCs w:val="32"/>
          <w:lang w:val="en"/>
        </w:rPr>
        <w:t>。</w:t>
      </w:r>
      <w:r>
        <w:rPr>
          <w:rFonts w:eastAsia="仿宋_GB2312"/>
          <w:sz w:val="32"/>
          <w:szCs w:val="32"/>
        </w:rPr>
        <w:t>发挥黄山、西递宏村等世界遗产等国际平台和窗口作用，充分利用各类媒体</w:t>
      </w:r>
      <w:r>
        <w:rPr>
          <w:rFonts w:eastAsia="仿宋_GB2312"/>
          <w:sz w:val="32"/>
          <w:szCs w:val="32"/>
          <w:lang w:val="en"/>
        </w:rPr>
        <w:t>，</w:t>
      </w:r>
      <w:r>
        <w:rPr>
          <w:rFonts w:eastAsia="仿宋_GB2312"/>
          <w:sz w:val="32"/>
          <w:szCs w:val="32"/>
        </w:rPr>
        <w:t>宣传绿美江淮建设成果。</w:t>
      </w:r>
      <w:r>
        <w:rPr>
          <w:rFonts w:eastAsia="楷体_GB2312"/>
          <w:sz w:val="32"/>
          <w:szCs w:val="32"/>
          <w:lang w:bidi="en-US"/>
        </w:rPr>
        <w:t>（</w:t>
      </w:r>
      <w:r>
        <w:rPr>
          <w:rFonts w:eastAsia="楷体_GB2312"/>
          <w:sz w:val="32"/>
          <w:szCs w:val="32"/>
        </w:rPr>
        <w:t>牵头领导：吴赛君；责任单位：局工作专班）</w:t>
      </w:r>
    </w:p>
    <w:p>
      <w:pPr>
        <w:pStyle w:val="5"/>
        <w:spacing w:after="0" w:line="540" w:lineRule="exact"/>
        <w:ind w:firstLine="210"/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附表：全市林业系统推进绿美江淮行动2024年任务分解表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210"/>
        <w:rPr>
          <w:rFonts w:hint="eastAsia"/>
        </w:rPr>
        <w:sectPr>
          <w:footerReference r:id="rId5" w:type="default"/>
          <w:pgSz w:w="11906" w:h="16838"/>
          <w:pgMar w:top="1587" w:right="1417" w:bottom="1587" w:left="1576" w:header="851" w:footer="850" w:gutter="0"/>
          <w:pgNumType w:fmt="numberInDash"/>
          <w:cols w:space="720" w:num="1"/>
          <w:docGrid w:type="lines" w:linePitch="312" w:charSpace="0"/>
        </w:sectPr>
      </w:pPr>
    </w:p>
    <w:p>
      <w:pPr>
        <w:pStyle w:val="3"/>
        <w:spacing w:before="0" w:after="0" w:line="560" w:lineRule="exact"/>
        <w:jc w:val="left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附表</w:t>
      </w:r>
    </w:p>
    <w:p>
      <w:pPr>
        <w:pStyle w:val="3"/>
        <w:spacing w:before="0" w:after="0" w:line="560" w:lineRule="exact"/>
        <w:jc w:val="center"/>
      </w:pPr>
      <w:r>
        <w:t>全市林业系统开展绿美江淮行动2024年任务分解表</w:t>
      </w:r>
    </w:p>
    <w:tbl>
      <w:tblPr>
        <w:tblStyle w:val="15"/>
        <w:tblpPr w:leftFromText="180" w:rightFromText="180" w:vertAnchor="text" w:horzAnchor="margin" w:tblpXSpec="center" w:tblpY="446"/>
        <w:tblW w:w="124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6"/>
        <w:gridCol w:w="1422"/>
        <w:gridCol w:w="1276"/>
        <w:gridCol w:w="1417"/>
        <w:gridCol w:w="1418"/>
        <w:gridCol w:w="1701"/>
        <w:gridCol w:w="1417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市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国土增绿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森林增质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乡村增美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产业增效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示范引领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"/>
                <w:kern w:val="0"/>
                <w:sz w:val="24"/>
                <w:lang w:bidi="ar"/>
              </w:rPr>
            </w:pPr>
            <w:r>
              <w:rPr>
                <w:rFonts w:eastAsia="楷体"/>
                <w:kern w:val="0"/>
                <w:sz w:val="24"/>
                <w:lang w:bidi="ar"/>
              </w:rPr>
              <w:t>人工造林</w:t>
            </w:r>
          </w:p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"/>
                <w:kern w:val="0"/>
                <w:sz w:val="24"/>
                <w:lang w:bidi="ar"/>
              </w:rPr>
            </w:pPr>
            <w:r>
              <w:rPr>
                <w:rFonts w:eastAsia="楷体"/>
                <w:kern w:val="0"/>
                <w:sz w:val="24"/>
                <w:lang w:bidi="ar"/>
              </w:rPr>
              <w:t>（亩）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"/>
                <w:bCs/>
                <w:kern w:val="0"/>
                <w:sz w:val="24"/>
                <w:lang w:bidi="ar"/>
              </w:rPr>
            </w:pPr>
            <w:r>
              <w:rPr>
                <w:rFonts w:eastAsia="楷体"/>
                <w:bCs/>
                <w:kern w:val="0"/>
                <w:sz w:val="24"/>
                <w:lang w:bidi="ar"/>
              </w:rPr>
              <w:t>退化林修复示范项目（个）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"/>
                <w:bCs/>
                <w:kern w:val="0"/>
                <w:sz w:val="24"/>
                <w:lang w:bidi="ar"/>
              </w:rPr>
            </w:pPr>
            <w:r>
              <w:rPr>
                <w:rFonts w:eastAsia="楷体"/>
                <w:bCs/>
                <w:kern w:val="0"/>
                <w:sz w:val="24"/>
                <w:lang w:bidi="ar"/>
              </w:rPr>
              <w:t>森林抚育示范项目</w:t>
            </w:r>
          </w:p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"/>
                <w:bCs/>
                <w:kern w:val="0"/>
                <w:sz w:val="24"/>
                <w:lang w:bidi="ar"/>
              </w:rPr>
            </w:pPr>
            <w:r>
              <w:rPr>
                <w:rFonts w:eastAsia="楷体"/>
                <w:bCs/>
                <w:kern w:val="0"/>
                <w:sz w:val="24"/>
                <w:lang w:bidi="ar"/>
              </w:rPr>
              <w:t>（个）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"/>
                <w:kern w:val="0"/>
                <w:sz w:val="24"/>
                <w:lang w:bidi="ar"/>
              </w:rPr>
            </w:pPr>
            <w:r>
              <w:rPr>
                <w:rFonts w:eastAsia="楷体"/>
                <w:kern w:val="0"/>
                <w:sz w:val="24"/>
                <w:lang w:bidi="ar"/>
              </w:rPr>
              <w:t>绿美村庄</w:t>
            </w:r>
          </w:p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/>
                <w:lang w:bidi="ar"/>
              </w:rPr>
            </w:pPr>
            <w:r>
              <w:rPr>
                <w:rFonts w:eastAsia="楷体"/>
                <w:kern w:val="0"/>
                <w:sz w:val="24"/>
                <w:lang w:bidi="ar"/>
              </w:rPr>
              <w:t>（个</w:t>
            </w:r>
            <w:r>
              <w:rPr>
                <w:rFonts w:eastAsia="楷体"/>
                <w:bCs/>
                <w:kern w:val="0"/>
                <w:sz w:val="24"/>
                <w:lang w:bidi="ar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"/>
                <w:kern w:val="0"/>
                <w:sz w:val="24"/>
                <w:lang w:bidi="ar"/>
              </w:rPr>
            </w:pPr>
            <w:r>
              <w:rPr>
                <w:rFonts w:eastAsia="楷体"/>
                <w:kern w:val="0"/>
                <w:sz w:val="24"/>
                <w:lang w:bidi="ar"/>
              </w:rPr>
              <w:t>绿美乡镇</w:t>
            </w:r>
          </w:p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"/>
                <w:kern w:val="0"/>
                <w:sz w:val="24"/>
                <w:lang w:bidi="ar"/>
              </w:rPr>
            </w:pPr>
            <w:r>
              <w:rPr>
                <w:rFonts w:eastAsia="楷体"/>
                <w:bCs/>
                <w:kern w:val="0"/>
                <w:sz w:val="24"/>
                <w:lang w:bidi="ar"/>
              </w:rPr>
              <w:t>（个）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"/>
                <w:kern w:val="0"/>
                <w:sz w:val="24"/>
                <w:lang w:bidi="ar"/>
              </w:rPr>
            </w:pPr>
            <w:r>
              <w:rPr>
                <w:rFonts w:eastAsia="楷体"/>
                <w:kern w:val="0"/>
                <w:sz w:val="24"/>
                <w:lang w:bidi="ar"/>
              </w:rPr>
              <w:t>省级特色林业高质量发展示范园区</w:t>
            </w:r>
          </w:p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"/>
                <w:kern w:val="0"/>
                <w:sz w:val="24"/>
                <w:lang w:bidi="ar"/>
              </w:rPr>
            </w:pPr>
            <w:r>
              <w:rPr>
                <w:rFonts w:eastAsia="楷体"/>
                <w:bCs/>
                <w:kern w:val="0"/>
                <w:sz w:val="24"/>
                <w:lang w:bidi="ar"/>
              </w:rPr>
              <w:t>（个）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"/>
                <w:kern w:val="0"/>
                <w:sz w:val="24"/>
                <w:lang w:bidi="ar"/>
              </w:rPr>
            </w:pPr>
            <w:r>
              <w:rPr>
                <w:rFonts w:eastAsia="楷体"/>
                <w:kern w:val="0"/>
                <w:sz w:val="24"/>
                <w:lang w:bidi="ar"/>
              </w:rPr>
              <w:t>古树公园</w:t>
            </w:r>
          </w:p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"/>
                <w:kern w:val="0"/>
                <w:sz w:val="24"/>
                <w:lang w:bidi="ar"/>
              </w:rPr>
            </w:pPr>
            <w:r>
              <w:rPr>
                <w:rFonts w:eastAsia="楷体"/>
                <w:bCs/>
                <w:kern w:val="0"/>
                <w:sz w:val="24"/>
                <w:lang w:bidi="ar"/>
              </w:rPr>
              <w:t>（个）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"/>
                <w:kern w:val="0"/>
                <w:sz w:val="24"/>
                <w:lang w:bidi="ar"/>
              </w:rPr>
            </w:pPr>
            <w:r>
              <w:rPr>
                <w:rFonts w:eastAsia="楷体"/>
                <w:kern w:val="0"/>
                <w:sz w:val="24"/>
                <w:lang w:bidi="ar"/>
              </w:rPr>
              <w:t>示范点建设</w:t>
            </w:r>
          </w:p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"/>
                <w:kern w:val="0"/>
                <w:sz w:val="24"/>
                <w:lang w:bidi="ar"/>
              </w:rPr>
            </w:pPr>
            <w:r>
              <w:rPr>
                <w:rFonts w:eastAsia="楷体"/>
                <w:bCs/>
                <w:kern w:val="0"/>
                <w:sz w:val="24"/>
                <w:lang w:bidi="ar"/>
              </w:rPr>
              <w:t>（个）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祁门县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4000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在森林增质、乡村增美、产业增效、古树公园</w:t>
            </w:r>
            <w:r>
              <w:rPr>
                <w:rFonts w:hint="eastAsia" w:eastAsia="仿宋_GB2312"/>
                <w:kern w:val="0"/>
                <w:sz w:val="24"/>
              </w:rPr>
              <w:t>等</w:t>
            </w:r>
            <w:r>
              <w:rPr>
                <w:rFonts w:eastAsia="仿宋_GB2312"/>
                <w:kern w:val="0"/>
                <w:sz w:val="24"/>
              </w:rPr>
              <w:t>各类示范建设中优中选优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黟县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3500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休宁县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3000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歙县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2610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黄山区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3000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徽州区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  <w:lang w:val="en"/>
              </w:rPr>
            </w:pPr>
            <w:r>
              <w:rPr>
                <w:rFonts w:eastAsia="方正仿宋_GBK"/>
                <w:kern w:val="0"/>
                <w:sz w:val="24"/>
                <w:lang w:val="e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屯溪区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80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黄山市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  <w:lang w:bidi="ar"/>
              </w:rPr>
            </w:pPr>
            <w:r>
              <w:rPr>
                <w:rFonts w:eastAsia="方正仿宋_GBK"/>
                <w:kern w:val="0"/>
                <w:sz w:val="24"/>
                <w:lang w:bidi="ar"/>
              </w:rPr>
              <w:t>16690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  <w:lang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  <w:lang w:bidi="ar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  <w:lang w:bidi="ar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  <w:lang w:bidi="a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  <w:lang w:bidi="a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  <w:lang w:bidi="ar"/>
              </w:rPr>
              <w:t>2</w:t>
            </w:r>
          </w:p>
        </w:tc>
      </w:tr>
    </w:tbl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  <w:sectPr>
          <w:footerReference r:id="rId6" w:type="default"/>
          <w:pgSz w:w="16838" w:h="11906" w:orient="landscape"/>
          <w:pgMar w:top="1576" w:right="1440" w:bottom="1633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p>
      <w:pPr>
        <w:pStyle w:val="5"/>
        <w:spacing w:after="0" w:line="560" w:lineRule="exact"/>
        <w:ind w:firstLine="419" w:firstLineChars="131"/>
        <w:rPr>
          <w:rFonts w:hint="eastAsia" w:eastAsia="仿宋_GB2312"/>
          <w:sz w:val="32"/>
          <w:szCs w:val="32"/>
        </w:rPr>
      </w:pPr>
    </w:p>
    <w:tbl>
      <w:tblPr>
        <w:tblStyle w:val="15"/>
        <w:tblpPr w:leftFromText="180" w:rightFromText="180" w:vertAnchor="text" w:horzAnchor="page" w:tblpX="1609" w:tblpY="1589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00" w:hRule="atLeast"/>
        </w:trPr>
        <w:tc>
          <w:tcPr>
            <w:tcW w:w="89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抄送：省林业局、市发改委、市文旅局、市交通局、市水利局、</w:t>
            </w:r>
          </w:p>
          <w:p>
            <w:pPr>
              <w:spacing w:line="560" w:lineRule="exact"/>
              <w:jc w:val="lef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市教育局、市住建局。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00" w:hRule="atLeast"/>
        </w:trPr>
        <w:tc>
          <w:tcPr>
            <w:tcW w:w="89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黄山市林业局办公室                 2024年2月7日印发</w:t>
            </w:r>
          </w:p>
        </w:tc>
      </w:tr>
    </w:tbl>
    <w:p>
      <w:pPr>
        <w:pStyle w:val="5"/>
        <w:spacing w:after="0" w:line="560" w:lineRule="exact"/>
        <w:ind w:firstLine="0" w:firstLineChars="0"/>
        <w:rPr>
          <w:rFonts w:hint="eastAsia" w:eastAsia="仿宋_GB2312"/>
          <w:sz w:val="32"/>
          <w:szCs w:val="32"/>
        </w:rPr>
      </w:pPr>
    </w:p>
    <w:sectPr>
      <w:footerReference r:id="rId7" w:type="default"/>
      <w:pgSz w:w="11906" w:h="16838"/>
      <w:pgMar w:top="1440" w:right="1633" w:bottom="1440" w:left="157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m84hJ9EA&#10;AAADAQAADwAAAAAAAAABACAAAAAiAAAAZHJzL2Rvd25yZXYueG1sUEsBAhQAFAAAAAgAh07iQETz&#10;FHq0AQAASQMAAA4AAAAAAAAAAQAgAAAAI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bziEn0QAA&#10;AAMBAAAPAAAAAAAAAAEAIAAAACIAAABkcnMvZG93bnJldi54bWxQSwECFAAUAAAACACHTuJAkvlj&#10;l7MBAABJAwAADgAAAAAAAAABACAAAAAg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AB"/>
    <w:rsid w:val="0002797B"/>
    <w:rsid w:val="00096351"/>
    <w:rsid w:val="000C6BE6"/>
    <w:rsid w:val="001504A3"/>
    <w:rsid w:val="00152FAE"/>
    <w:rsid w:val="002D3434"/>
    <w:rsid w:val="00303042"/>
    <w:rsid w:val="0032777E"/>
    <w:rsid w:val="00394EE1"/>
    <w:rsid w:val="003E323C"/>
    <w:rsid w:val="003F5F0D"/>
    <w:rsid w:val="0043294B"/>
    <w:rsid w:val="004C434B"/>
    <w:rsid w:val="004E2552"/>
    <w:rsid w:val="00653819"/>
    <w:rsid w:val="0067499E"/>
    <w:rsid w:val="006C42DC"/>
    <w:rsid w:val="00700CD5"/>
    <w:rsid w:val="00751021"/>
    <w:rsid w:val="007C5ED2"/>
    <w:rsid w:val="007D6197"/>
    <w:rsid w:val="007E1AE0"/>
    <w:rsid w:val="0092378D"/>
    <w:rsid w:val="00924A54"/>
    <w:rsid w:val="0093156F"/>
    <w:rsid w:val="009A379B"/>
    <w:rsid w:val="00A77C52"/>
    <w:rsid w:val="00B11350"/>
    <w:rsid w:val="00B2675D"/>
    <w:rsid w:val="00B734AE"/>
    <w:rsid w:val="00C36DCE"/>
    <w:rsid w:val="00CE0A11"/>
    <w:rsid w:val="00D010AC"/>
    <w:rsid w:val="00D20F80"/>
    <w:rsid w:val="00D21AD4"/>
    <w:rsid w:val="00DD10AB"/>
    <w:rsid w:val="00E37109"/>
    <w:rsid w:val="00F86B28"/>
    <w:rsid w:val="07BF1C2B"/>
    <w:rsid w:val="16B5098D"/>
    <w:rsid w:val="1BDF610C"/>
    <w:rsid w:val="1BEE77EC"/>
    <w:rsid w:val="1CBB5FB6"/>
    <w:rsid w:val="225A61FC"/>
    <w:rsid w:val="249A4CA7"/>
    <w:rsid w:val="277C9C3E"/>
    <w:rsid w:val="278527FC"/>
    <w:rsid w:val="2FA0027E"/>
    <w:rsid w:val="31BFD601"/>
    <w:rsid w:val="367E644B"/>
    <w:rsid w:val="375E4A33"/>
    <w:rsid w:val="37C5DBB7"/>
    <w:rsid w:val="37F3C9FA"/>
    <w:rsid w:val="3EAB0813"/>
    <w:rsid w:val="3EBF1C57"/>
    <w:rsid w:val="3FAF4193"/>
    <w:rsid w:val="4B067A8A"/>
    <w:rsid w:val="4BFB2F17"/>
    <w:rsid w:val="4E8B479F"/>
    <w:rsid w:val="56FF707C"/>
    <w:rsid w:val="575E5E51"/>
    <w:rsid w:val="577D3EC9"/>
    <w:rsid w:val="5BFF2658"/>
    <w:rsid w:val="5BFFD041"/>
    <w:rsid w:val="5CAE1F99"/>
    <w:rsid w:val="5E7D4453"/>
    <w:rsid w:val="5FBF1F48"/>
    <w:rsid w:val="5FBF4E1F"/>
    <w:rsid w:val="5FFBE13E"/>
    <w:rsid w:val="66EBFA2C"/>
    <w:rsid w:val="679F8E43"/>
    <w:rsid w:val="67A3DCCD"/>
    <w:rsid w:val="67BB6FCE"/>
    <w:rsid w:val="6BFBBD20"/>
    <w:rsid w:val="6D7FA981"/>
    <w:rsid w:val="6D968065"/>
    <w:rsid w:val="6E2BFD6D"/>
    <w:rsid w:val="6E358138"/>
    <w:rsid w:val="6FBF5689"/>
    <w:rsid w:val="6FFAA8CD"/>
    <w:rsid w:val="73537A54"/>
    <w:rsid w:val="73B91830"/>
    <w:rsid w:val="73E7DA49"/>
    <w:rsid w:val="775320D9"/>
    <w:rsid w:val="777D092A"/>
    <w:rsid w:val="77B33729"/>
    <w:rsid w:val="77EBB75A"/>
    <w:rsid w:val="7AF360BD"/>
    <w:rsid w:val="7BEBBBA6"/>
    <w:rsid w:val="7C2DA659"/>
    <w:rsid w:val="7CFECAB6"/>
    <w:rsid w:val="7DEED46E"/>
    <w:rsid w:val="7DFB994C"/>
    <w:rsid w:val="7E2F4228"/>
    <w:rsid w:val="7F4E20B2"/>
    <w:rsid w:val="7F7D2C2C"/>
    <w:rsid w:val="7FF95843"/>
    <w:rsid w:val="8FFF1F5C"/>
    <w:rsid w:val="93EF0809"/>
    <w:rsid w:val="97B743CE"/>
    <w:rsid w:val="9F4A8664"/>
    <w:rsid w:val="9FBB6A94"/>
    <w:rsid w:val="A1FDDBC7"/>
    <w:rsid w:val="A88F19E6"/>
    <w:rsid w:val="AF4C656B"/>
    <w:rsid w:val="B4D7B527"/>
    <w:rsid w:val="B6DF740F"/>
    <w:rsid w:val="BD77B03D"/>
    <w:rsid w:val="BE9E586A"/>
    <w:rsid w:val="BFD6254C"/>
    <w:rsid w:val="BFFC9412"/>
    <w:rsid w:val="C9F7DC73"/>
    <w:rsid w:val="CB932271"/>
    <w:rsid w:val="DC6F7D7A"/>
    <w:rsid w:val="DCF6EF62"/>
    <w:rsid w:val="DDFB2EA5"/>
    <w:rsid w:val="DFFD6029"/>
    <w:rsid w:val="DFFD7207"/>
    <w:rsid w:val="EBF3115D"/>
    <w:rsid w:val="EED945EE"/>
    <w:rsid w:val="EF7F513C"/>
    <w:rsid w:val="F17947B0"/>
    <w:rsid w:val="F3F9463D"/>
    <w:rsid w:val="F3FBF7CA"/>
    <w:rsid w:val="F56FEB72"/>
    <w:rsid w:val="F67F4542"/>
    <w:rsid w:val="F7604246"/>
    <w:rsid w:val="F8EDD3A3"/>
    <w:rsid w:val="F9374C8D"/>
    <w:rsid w:val="FAF3011C"/>
    <w:rsid w:val="FB7B6B01"/>
    <w:rsid w:val="FBF71479"/>
    <w:rsid w:val="FC85C82B"/>
    <w:rsid w:val="FD6848C0"/>
    <w:rsid w:val="FDBCA467"/>
    <w:rsid w:val="FDF726DE"/>
    <w:rsid w:val="FDFE0840"/>
    <w:rsid w:val="FDFF16DA"/>
    <w:rsid w:val="FEEE1E97"/>
    <w:rsid w:val="FF34E15C"/>
    <w:rsid w:val="FF9F4CEA"/>
    <w:rsid w:val="FFAF964A"/>
    <w:rsid w:val="FFDB80A4"/>
    <w:rsid w:val="FFFDA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Times New Roman" w:hAnsi="Times New Roman" w:eastAsia="方正黑体_GBK"/>
      <w:sz w:val="32"/>
    </w:rPr>
  </w:style>
  <w:style w:type="character" w:default="1" w:styleId="13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99"/>
    <w:pPr>
      <w:widowControl w:val="0"/>
      <w:tabs>
        <w:tab w:val="left" w:pos="0"/>
        <w:tab w:val="left" w:pos="993"/>
        <w:tab w:val="left" w:pos="1134"/>
      </w:tabs>
      <w:ind w:firstLine="200" w:firstLineChars="200"/>
      <w:jc w:val="both"/>
    </w:pPr>
    <w:rPr>
      <w:rFonts w:ascii="Arial" w:hAnsi="Arial" w:eastAsia="仿宋_GB2312"/>
      <w:kern w:val="2"/>
      <w:sz w:val="28"/>
      <w:szCs w:val="22"/>
      <w:lang w:val="en-US" w:eastAsia="zh-CN" w:bidi="ar-SA"/>
    </w:rPr>
  </w:style>
  <w:style w:type="paragraph" w:styleId="5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6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Emphasis"/>
    <w:qFormat/>
    <w:uiPriority w:val="99"/>
    <w:rPr>
      <w:rFonts w:cs="Times New Roman"/>
      <w:i/>
    </w:rPr>
  </w:style>
  <w:style w:type="paragraph" w:customStyle="1" w:styleId="16">
    <w:name w:val="正文首行缩进1"/>
    <w:basedOn w:val="6"/>
    <w:qFormat/>
    <w:uiPriority w:val="0"/>
    <w:pPr>
      <w:ind w:firstLine="420"/>
    </w:pPr>
  </w:style>
  <w:style w:type="paragraph" w:styleId="17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paragraph" w:customStyle="1" w:styleId="18">
    <w:name w:val="文件正文"/>
    <w:basedOn w:val="1"/>
    <w:qFormat/>
    <w:uiPriority w:val="0"/>
    <w:pPr>
      <w:snapToGrid w:val="0"/>
      <w:spacing w:line="600" w:lineRule="exact"/>
      <w:ind w:firstLine="200" w:firstLineChars="200"/>
    </w:pPr>
    <w:rPr>
      <w:rFonts w:ascii="Times New Roman" w:hAnsi="Times New Roman"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735</Words>
  <Characters>4195</Characters>
  <Lines>34</Lines>
  <Paragraphs>9</Paragraphs>
  <TotalTime>0</TotalTime>
  <ScaleCrop>false</ScaleCrop>
  <LinksUpToDate>false</LinksUpToDate>
  <CharactersWithSpaces>4921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查显凤</cp:lastModifiedBy>
  <cp:lastPrinted>2024-02-07T04:04:00Z</cp:lastPrinted>
  <dcterms:modified xsi:type="dcterms:W3CDTF">2025-10-30T06:58:41Z</dcterms:modified>
  <dc:title>关于征求《全市林业系统推进绿美江淮行动2024年工作方案（征求意见稿）》的通知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